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39013.xml.htm"/>
      <w:bookmarkStart w:id="1" w:name="kswkform4_17890390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Friedrich Matthew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VESEY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Galaxy Digital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752"/>
        <w:gridCol w:w="118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26.33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280,775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4,993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27.03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275,782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30,630 shares of Class A common stock withheld for taxes upon the vesting of 60,000 restricted share units ("RSUs") on September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251,405 shares of Class A Common Stock to be delivered in settlement of RSUs,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 reported was effected pursuant to a Rule 10b5-1 trading plan adopted by the Reporting Person on May 27, 2026 during an open trading window.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/s/Frances Fuqua, Attorney-in-Fact for Matthew W. Friedrich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6614" TargetMode="External"/><Relationship Id="rId5" Type="http://schemas.openxmlformats.org/officeDocument/2006/relationships/hyperlink" Target="http://www.sec.gov/cgi-bin/browse-edgar?action=getcompany&amp;CIK=00018593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3541</Characters>
  <CharactersWithSpaces>4120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